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1665" w14:textId="6DA9DA1A" w:rsidR="0050062E" w:rsidRDefault="0050062E" w:rsidP="0050062E">
      <w:r>
        <w:t xml:space="preserve">Many people approached </w:t>
      </w:r>
      <w:r>
        <w:t>us</w:t>
      </w:r>
      <w:r>
        <w:t xml:space="preserve"> for what </w:t>
      </w:r>
      <w:r>
        <w:t>Mike Butman</w:t>
      </w:r>
      <w:r>
        <w:t xml:space="preserve"> presented at the agency conference; the Chat GPT “Rosie the Robot” </w:t>
      </w:r>
      <w:r>
        <w:t>information</w:t>
      </w:r>
      <w:r>
        <w:t xml:space="preserve">. </w:t>
      </w:r>
    </w:p>
    <w:p w14:paraId="1C6A0CD1" w14:textId="77777777" w:rsidR="0050062E" w:rsidRDefault="0050062E" w:rsidP="0050062E"/>
    <w:p w14:paraId="2B7A6586" w14:textId="78F62D53" w:rsidR="0050062E" w:rsidRDefault="0050062E" w:rsidP="0050062E">
      <w:r>
        <w:t xml:space="preserve">Here are the results of two questions </w:t>
      </w:r>
      <w:r>
        <w:t xml:space="preserve">he </w:t>
      </w:r>
      <w:r>
        <w:t>asked Chat GPT:</w:t>
      </w:r>
    </w:p>
    <w:p w14:paraId="119596FB" w14:textId="77777777" w:rsidR="0050062E" w:rsidRDefault="0050062E" w:rsidP="0050062E"/>
    <w:p w14:paraId="32CDD1BC" w14:textId="77777777" w:rsidR="0050062E" w:rsidRDefault="0050062E" w:rsidP="0050062E">
      <w:pPr>
        <w:pStyle w:val="ListParagraph"/>
        <w:numPr>
          <w:ilvl w:val="0"/>
          <w:numId w:val="1"/>
        </w:numPr>
        <w:rPr>
          <w:rFonts w:eastAsia="Times New Roman"/>
          <w:b/>
          <w:bCs/>
        </w:rPr>
      </w:pPr>
      <w:r>
        <w:rPr>
          <w:rFonts w:eastAsia="Times New Roman"/>
          <w:b/>
          <w:bCs/>
        </w:rPr>
        <w:t>How can an agency develop trust in an underserved or compromised community?</w:t>
      </w:r>
    </w:p>
    <w:p w14:paraId="1CF3D5C4" w14:textId="77777777" w:rsidR="0050062E" w:rsidRDefault="0050062E" w:rsidP="0050062E">
      <w:pPr>
        <w:pStyle w:val="ListParagraph"/>
        <w:numPr>
          <w:ilvl w:val="0"/>
          <w:numId w:val="1"/>
        </w:numPr>
        <w:rPr>
          <w:rFonts w:eastAsia="Times New Roman"/>
          <w:b/>
          <w:bCs/>
        </w:rPr>
      </w:pPr>
      <w:r>
        <w:rPr>
          <w:rFonts w:eastAsia="Times New Roman"/>
          <w:b/>
          <w:bCs/>
        </w:rPr>
        <w:t>What are the top technologies considerations for an agency that distributes food to people with food insecurity?</w:t>
      </w:r>
    </w:p>
    <w:p w14:paraId="662A2536" w14:textId="77777777" w:rsidR="0050062E" w:rsidRDefault="0050062E" w:rsidP="0050062E"/>
    <w:p w14:paraId="79E283CC" w14:textId="77777777" w:rsidR="0050062E" w:rsidRDefault="0050062E" w:rsidP="0050062E">
      <w:r>
        <w:t>Here are the answers:</w:t>
      </w:r>
    </w:p>
    <w:p w14:paraId="01E71AA1" w14:textId="77777777" w:rsidR="0050062E" w:rsidRDefault="0050062E" w:rsidP="0050062E"/>
    <w:p w14:paraId="19F54D29" w14:textId="77777777" w:rsidR="0050062E" w:rsidRDefault="0050062E" w:rsidP="0050062E">
      <w:pPr>
        <w:pStyle w:val="ListParagraph"/>
        <w:numPr>
          <w:ilvl w:val="0"/>
          <w:numId w:val="2"/>
        </w:numPr>
        <w:rPr>
          <w:rFonts w:eastAsia="Times New Roman"/>
          <w:b/>
          <w:bCs/>
        </w:rPr>
      </w:pPr>
      <w:r>
        <w:rPr>
          <w:rFonts w:eastAsia="Times New Roman"/>
          <w:b/>
          <w:bCs/>
        </w:rPr>
        <w:t xml:space="preserve">How can an agency develop trust in an underserved or compromised </w:t>
      </w:r>
      <w:proofErr w:type="gramStart"/>
      <w:r>
        <w:rPr>
          <w:rFonts w:eastAsia="Times New Roman"/>
          <w:b/>
          <w:bCs/>
        </w:rPr>
        <w:t>community</w:t>
      </w:r>
      <w:proofErr w:type="gramEnd"/>
    </w:p>
    <w:p w14:paraId="729DD9FD" w14:textId="77777777" w:rsidR="0050062E" w:rsidRDefault="0050062E" w:rsidP="0050062E">
      <w:pPr>
        <w:rPr>
          <w:b/>
          <w:bCs/>
          <w:color w:val="00B050"/>
        </w:rPr>
      </w:pPr>
      <w:proofErr w:type="spellStart"/>
      <w:r>
        <w:rPr>
          <w:b/>
          <w:bCs/>
          <w:color w:val="00B050"/>
        </w:rPr>
        <w:t>ChatGPT</w:t>
      </w:r>
      <w:proofErr w:type="spellEnd"/>
    </w:p>
    <w:p w14:paraId="2CC0A351" w14:textId="77777777" w:rsidR="0050062E" w:rsidRDefault="0050062E" w:rsidP="0050062E">
      <w:r>
        <w:t>Developing trust in an underserved or compromised community requires a thoughtful, sustained, and culturally sensitive approach. Here are some strategies that agencies can consider:</w:t>
      </w:r>
    </w:p>
    <w:p w14:paraId="75461D2F" w14:textId="77777777" w:rsidR="0050062E" w:rsidRDefault="0050062E" w:rsidP="0050062E">
      <w:pPr>
        <w:numPr>
          <w:ilvl w:val="0"/>
          <w:numId w:val="3"/>
        </w:numPr>
        <w:rPr>
          <w:rFonts w:eastAsia="Times New Roman"/>
        </w:rPr>
      </w:pPr>
      <w:r>
        <w:rPr>
          <w:rFonts w:eastAsia="Times New Roman"/>
          <w:b/>
          <w:bCs/>
        </w:rPr>
        <w:t>Cultural Competence:</w:t>
      </w:r>
      <w:r>
        <w:rPr>
          <w:rFonts w:eastAsia="Times New Roman"/>
        </w:rPr>
        <w:t xml:space="preserve"> Understand the unique cultural, historical, and social aspects of the community. This involves actively learning about their values, beliefs, and norms to demonstrate respect and genuine interest.</w:t>
      </w:r>
    </w:p>
    <w:p w14:paraId="1DDA8E36" w14:textId="77777777" w:rsidR="0050062E" w:rsidRDefault="0050062E" w:rsidP="0050062E">
      <w:pPr>
        <w:numPr>
          <w:ilvl w:val="0"/>
          <w:numId w:val="3"/>
        </w:numPr>
        <w:rPr>
          <w:rFonts w:eastAsia="Times New Roman"/>
        </w:rPr>
      </w:pPr>
      <w:r>
        <w:rPr>
          <w:rFonts w:eastAsia="Times New Roman"/>
          <w:b/>
          <w:bCs/>
        </w:rPr>
        <w:t>Community Involvement:</w:t>
      </w:r>
      <w:r>
        <w:rPr>
          <w:rFonts w:eastAsia="Times New Roman"/>
        </w:rPr>
        <w:t xml:space="preserve"> Engage community members in the decision-making process. This can be achieved through town hall meetings, focus groups, and involving local leaders and influencers in discussions. Let them have a say in the services or programs being offered.</w:t>
      </w:r>
    </w:p>
    <w:p w14:paraId="648E6417" w14:textId="77777777" w:rsidR="0050062E" w:rsidRDefault="0050062E" w:rsidP="0050062E">
      <w:pPr>
        <w:numPr>
          <w:ilvl w:val="0"/>
          <w:numId w:val="3"/>
        </w:numPr>
        <w:rPr>
          <w:rFonts w:eastAsia="Times New Roman"/>
        </w:rPr>
      </w:pPr>
      <w:r>
        <w:rPr>
          <w:rFonts w:eastAsia="Times New Roman"/>
          <w:b/>
          <w:bCs/>
        </w:rPr>
        <w:t>Transparency:</w:t>
      </w:r>
      <w:r>
        <w:rPr>
          <w:rFonts w:eastAsia="Times New Roman"/>
        </w:rPr>
        <w:t xml:space="preserve"> Be open and honest about the agency's goals, objectives, and limitations. Clearly communicate what can be expected from the agency and what cannot be done. This helps to manage expectations and prevent disappointment.</w:t>
      </w:r>
    </w:p>
    <w:p w14:paraId="45A2A238" w14:textId="77777777" w:rsidR="0050062E" w:rsidRDefault="0050062E" w:rsidP="0050062E">
      <w:pPr>
        <w:numPr>
          <w:ilvl w:val="0"/>
          <w:numId w:val="3"/>
        </w:numPr>
        <w:rPr>
          <w:rFonts w:eastAsia="Times New Roman"/>
        </w:rPr>
      </w:pPr>
      <w:r>
        <w:rPr>
          <w:rFonts w:eastAsia="Times New Roman"/>
          <w:b/>
          <w:bCs/>
        </w:rPr>
        <w:t>Active Listening:</w:t>
      </w:r>
      <w:r>
        <w:rPr>
          <w:rFonts w:eastAsia="Times New Roman"/>
        </w:rPr>
        <w:t xml:space="preserve"> Listen attentively to community concerns and needs. Show that their opinions matter by incorporating their feedback into decision-making processes. Actively listening helps build rapport and demonstrates a commitment to their well-being.</w:t>
      </w:r>
    </w:p>
    <w:p w14:paraId="0B360C59" w14:textId="77777777" w:rsidR="0050062E" w:rsidRDefault="0050062E" w:rsidP="0050062E">
      <w:pPr>
        <w:numPr>
          <w:ilvl w:val="0"/>
          <w:numId w:val="3"/>
        </w:numPr>
        <w:rPr>
          <w:rFonts w:eastAsia="Times New Roman"/>
        </w:rPr>
      </w:pPr>
      <w:r>
        <w:rPr>
          <w:rFonts w:eastAsia="Times New Roman"/>
          <w:b/>
          <w:bCs/>
        </w:rPr>
        <w:t>Local Hires:</w:t>
      </w:r>
      <w:r>
        <w:rPr>
          <w:rFonts w:eastAsia="Times New Roman"/>
        </w:rPr>
        <w:t xml:space="preserve"> Employ individuals from the community, if possible. Hiring local staff members can help bridge the gap between the agency and the community, as they understand the local dynamics, language, and culture.</w:t>
      </w:r>
    </w:p>
    <w:p w14:paraId="3384692E" w14:textId="77777777" w:rsidR="0050062E" w:rsidRDefault="0050062E" w:rsidP="0050062E">
      <w:pPr>
        <w:numPr>
          <w:ilvl w:val="0"/>
          <w:numId w:val="3"/>
        </w:numPr>
        <w:rPr>
          <w:rFonts w:eastAsia="Times New Roman"/>
        </w:rPr>
      </w:pPr>
      <w:r>
        <w:rPr>
          <w:rFonts w:eastAsia="Times New Roman"/>
          <w:b/>
          <w:bCs/>
        </w:rPr>
        <w:t>Education and Empowerment:</w:t>
      </w:r>
      <w:r>
        <w:rPr>
          <w:rFonts w:eastAsia="Times New Roman"/>
        </w:rPr>
        <w:t xml:space="preserve"> Offer workshops, training, and resources that empower community members. This can include skills development, financial literacy, healthcare education, and more. Empowering the community fosters a sense of self-sufficiency and ownership.</w:t>
      </w:r>
    </w:p>
    <w:p w14:paraId="79C3E20C" w14:textId="77777777" w:rsidR="0050062E" w:rsidRDefault="0050062E" w:rsidP="0050062E">
      <w:pPr>
        <w:numPr>
          <w:ilvl w:val="0"/>
          <w:numId w:val="3"/>
        </w:numPr>
        <w:rPr>
          <w:rFonts w:eastAsia="Times New Roman"/>
        </w:rPr>
      </w:pPr>
      <w:r>
        <w:rPr>
          <w:rFonts w:eastAsia="Times New Roman"/>
          <w:b/>
          <w:bCs/>
        </w:rPr>
        <w:t>Consistency:</w:t>
      </w:r>
      <w:r>
        <w:rPr>
          <w:rFonts w:eastAsia="Times New Roman"/>
        </w:rPr>
        <w:t xml:space="preserve"> Consistently show up and maintain a long-term commitment to the community. Trust takes time to develop, and a consistent presence helps community members see the agency's dedication.</w:t>
      </w:r>
    </w:p>
    <w:p w14:paraId="6AC3EC7B" w14:textId="77777777" w:rsidR="0050062E" w:rsidRDefault="0050062E" w:rsidP="0050062E">
      <w:pPr>
        <w:numPr>
          <w:ilvl w:val="0"/>
          <w:numId w:val="3"/>
        </w:numPr>
        <w:rPr>
          <w:rFonts w:eastAsia="Times New Roman"/>
        </w:rPr>
      </w:pPr>
      <w:r>
        <w:rPr>
          <w:rFonts w:eastAsia="Times New Roman"/>
          <w:b/>
          <w:bCs/>
        </w:rPr>
        <w:t>Collaborative Partnerships:</w:t>
      </w:r>
      <w:r>
        <w:rPr>
          <w:rFonts w:eastAsia="Times New Roman"/>
        </w:rPr>
        <w:t xml:space="preserve"> Partner with local organizations, NGOs, and grassroots initiatives that are already established within the community. Collaborative efforts demonstrate solidarity and a shared commitment to the community's well-being.</w:t>
      </w:r>
    </w:p>
    <w:p w14:paraId="795409EA" w14:textId="77777777" w:rsidR="0050062E" w:rsidRDefault="0050062E" w:rsidP="0050062E">
      <w:pPr>
        <w:numPr>
          <w:ilvl w:val="0"/>
          <w:numId w:val="3"/>
        </w:numPr>
        <w:rPr>
          <w:rFonts w:eastAsia="Times New Roman"/>
        </w:rPr>
      </w:pPr>
      <w:r>
        <w:rPr>
          <w:rFonts w:eastAsia="Times New Roman"/>
          <w:b/>
          <w:bCs/>
        </w:rPr>
        <w:t>Respect Privacy and Confidentiality:</w:t>
      </w:r>
      <w:r>
        <w:rPr>
          <w:rFonts w:eastAsia="Times New Roman"/>
        </w:rPr>
        <w:t xml:space="preserve"> Ensure that sensitive information shared by community members is treated with utmost confidentiality and respect. This helps establish a safe space for open communication.</w:t>
      </w:r>
    </w:p>
    <w:p w14:paraId="280D510B" w14:textId="77777777" w:rsidR="0050062E" w:rsidRDefault="0050062E" w:rsidP="0050062E">
      <w:pPr>
        <w:numPr>
          <w:ilvl w:val="0"/>
          <w:numId w:val="3"/>
        </w:numPr>
        <w:rPr>
          <w:rFonts w:eastAsia="Times New Roman"/>
        </w:rPr>
      </w:pPr>
      <w:r>
        <w:rPr>
          <w:rFonts w:eastAsia="Times New Roman"/>
          <w:b/>
          <w:bCs/>
        </w:rPr>
        <w:t>Address Past Concerns:</w:t>
      </w:r>
      <w:r>
        <w:rPr>
          <w:rFonts w:eastAsia="Times New Roman"/>
        </w:rPr>
        <w:t xml:space="preserve"> If there have been past issues or negative experiences with the agency, openly acknowledge and address them. Apologize if necessary and outline the steps being taken to rectify those issues.</w:t>
      </w:r>
    </w:p>
    <w:p w14:paraId="21EAD05D" w14:textId="77777777" w:rsidR="0050062E" w:rsidRDefault="0050062E" w:rsidP="0050062E">
      <w:pPr>
        <w:numPr>
          <w:ilvl w:val="0"/>
          <w:numId w:val="3"/>
        </w:numPr>
        <w:rPr>
          <w:rFonts w:eastAsia="Times New Roman"/>
        </w:rPr>
      </w:pPr>
      <w:r>
        <w:rPr>
          <w:rFonts w:eastAsia="Times New Roman"/>
          <w:b/>
          <w:bCs/>
        </w:rPr>
        <w:t>Community Outreach:</w:t>
      </w:r>
      <w:r>
        <w:rPr>
          <w:rFonts w:eastAsia="Times New Roman"/>
        </w:rPr>
        <w:t xml:space="preserve"> Engage in community events, festivals, and gatherings. This showcases the agency's interest in the community beyond its official duties.</w:t>
      </w:r>
    </w:p>
    <w:p w14:paraId="4848508F" w14:textId="77777777" w:rsidR="0050062E" w:rsidRDefault="0050062E" w:rsidP="0050062E">
      <w:pPr>
        <w:numPr>
          <w:ilvl w:val="0"/>
          <w:numId w:val="3"/>
        </w:numPr>
        <w:rPr>
          <w:rFonts w:eastAsia="Times New Roman"/>
        </w:rPr>
      </w:pPr>
      <w:r>
        <w:rPr>
          <w:rFonts w:eastAsia="Times New Roman"/>
          <w:b/>
          <w:bCs/>
        </w:rPr>
        <w:lastRenderedPageBreak/>
        <w:t>Customized Approach:</w:t>
      </w:r>
      <w:r>
        <w:rPr>
          <w:rFonts w:eastAsia="Times New Roman"/>
        </w:rPr>
        <w:t xml:space="preserve"> Recognize that each community is unique, and a one-size-fits-all approach may not work. Tailor your strategies to the specific needs, preferences, and challenges of the community.</w:t>
      </w:r>
    </w:p>
    <w:p w14:paraId="19475073" w14:textId="77777777" w:rsidR="0050062E" w:rsidRDefault="0050062E" w:rsidP="0050062E">
      <w:pPr>
        <w:numPr>
          <w:ilvl w:val="0"/>
          <w:numId w:val="3"/>
        </w:numPr>
        <w:rPr>
          <w:rFonts w:eastAsia="Times New Roman"/>
        </w:rPr>
      </w:pPr>
      <w:r>
        <w:rPr>
          <w:rFonts w:eastAsia="Times New Roman"/>
          <w:b/>
          <w:bCs/>
        </w:rPr>
        <w:t>Show Results:</w:t>
      </w:r>
      <w:r>
        <w:rPr>
          <w:rFonts w:eastAsia="Times New Roman"/>
        </w:rPr>
        <w:t xml:space="preserve"> Demonstrate the positive impact of the agency's efforts through data, success stories, and tangible improvements. Concrete results can validate the agency's credibility and foster trust.</w:t>
      </w:r>
    </w:p>
    <w:p w14:paraId="5FE5FEBA" w14:textId="77777777" w:rsidR="0050062E" w:rsidRDefault="0050062E" w:rsidP="0050062E">
      <w:pPr>
        <w:numPr>
          <w:ilvl w:val="0"/>
          <w:numId w:val="3"/>
        </w:numPr>
        <w:rPr>
          <w:rFonts w:eastAsia="Times New Roman"/>
        </w:rPr>
      </w:pPr>
      <w:r>
        <w:rPr>
          <w:rFonts w:eastAsia="Times New Roman"/>
          <w:b/>
          <w:bCs/>
        </w:rPr>
        <w:t>Patience:</w:t>
      </w:r>
      <w:r>
        <w:rPr>
          <w:rFonts w:eastAsia="Times New Roman"/>
        </w:rPr>
        <w:t xml:space="preserve"> Building trust takes time and patience. </w:t>
      </w:r>
      <w:proofErr w:type="gramStart"/>
      <w:r>
        <w:rPr>
          <w:rFonts w:eastAsia="Times New Roman"/>
        </w:rPr>
        <w:t>It's</w:t>
      </w:r>
      <w:proofErr w:type="gramEnd"/>
      <w:r>
        <w:rPr>
          <w:rFonts w:eastAsia="Times New Roman"/>
        </w:rPr>
        <w:t xml:space="preserve"> important not to rush the process and to acknowledge that trust is earned through consistent, respectful, and meaningful interactions.</w:t>
      </w:r>
    </w:p>
    <w:p w14:paraId="156A1331" w14:textId="77777777" w:rsidR="0050062E" w:rsidRDefault="0050062E" w:rsidP="0050062E">
      <w:r>
        <w:t xml:space="preserve">Remember that building trust is an ongoing effort and requires a genuine commitment to the well-being of the community. </w:t>
      </w:r>
      <w:proofErr w:type="gramStart"/>
      <w:r>
        <w:t>It's</w:t>
      </w:r>
      <w:proofErr w:type="gramEnd"/>
      <w:r>
        <w:t xml:space="preserve"> not about quick fixes but about creating lasting, positive relationships.</w:t>
      </w:r>
    </w:p>
    <w:p w14:paraId="216F0EAD" w14:textId="77777777" w:rsidR="0050062E" w:rsidRDefault="0050062E" w:rsidP="0050062E"/>
    <w:p w14:paraId="3C92CE73" w14:textId="77777777" w:rsidR="0050062E" w:rsidRDefault="0050062E" w:rsidP="0050062E">
      <w:pPr>
        <w:ind w:firstLine="720"/>
      </w:pPr>
    </w:p>
    <w:p w14:paraId="6706F62E" w14:textId="77777777" w:rsidR="0050062E" w:rsidRDefault="0050062E" w:rsidP="0050062E">
      <w:pPr>
        <w:pStyle w:val="ListParagraph"/>
        <w:numPr>
          <w:ilvl w:val="0"/>
          <w:numId w:val="2"/>
        </w:numPr>
        <w:rPr>
          <w:rFonts w:eastAsia="Times New Roman"/>
          <w:b/>
          <w:bCs/>
        </w:rPr>
      </w:pPr>
      <w:r>
        <w:rPr>
          <w:rFonts w:eastAsia="Times New Roman"/>
          <w:b/>
          <w:bCs/>
        </w:rPr>
        <w:t>What are the top technologies considerations for an agency that distributes food to people with food insecurity?</w:t>
      </w:r>
    </w:p>
    <w:p w14:paraId="111F2BD7" w14:textId="77777777" w:rsidR="0050062E" w:rsidRDefault="0050062E" w:rsidP="0050062E">
      <w:pPr>
        <w:rPr>
          <w:b/>
          <w:bCs/>
        </w:rPr>
      </w:pPr>
      <w:proofErr w:type="spellStart"/>
      <w:r>
        <w:rPr>
          <w:b/>
          <w:bCs/>
          <w:color w:val="00B050"/>
        </w:rPr>
        <w:t>ChatGPT</w:t>
      </w:r>
      <w:proofErr w:type="spellEnd"/>
    </w:p>
    <w:p w14:paraId="73E18482" w14:textId="77777777" w:rsidR="0050062E" w:rsidRDefault="0050062E" w:rsidP="0050062E">
      <w:r>
        <w:t>Distributing food to people with food insecurity involves complex logistical and operational challenges. Implementing the right technologies can significantly improve the efficiency, reach, and impact of such an agency. Here are some top technology considerations:</w:t>
      </w:r>
    </w:p>
    <w:p w14:paraId="2DA57247" w14:textId="77777777" w:rsidR="0050062E" w:rsidRDefault="0050062E" w:rsidP="0050062E">
      <w:pPr>
        <w:numPr>
          <w:ilvl w:val="0"/>
          <w:numId w:val="4"/>
        </w:numPr>
        <w:rPr>
          <w:rFonts w:eastAsia="Times New Roman"/>
        </w:rPr>
      </w:pPr>
      <w:r>
        <w:rPr>
          <w:rFonts w:eastAsia="Times New Roman"/>
          <w:b/>
          <w:bCs/>
        </w:rPr>
        <w:t>Inventory Management System:</w:t>
      </w:r>
      <w:r>
        <w:rPr>
          <w:rFonts w:eastAsia="Times New Roman"/>
        </w:rPr>
        <w:t xml:space="preserve"> An effective inventory management system helps track available food items, expiry dates, and quantities. It ensures that food is distributed before it goes to waste. Consider using inventory management software or a customized system that provides real-time updates on stock levels.</w:t>
      </w:r>
    </w:p>
    <w:p w14:paraId="3F1DDBCB" w14:textId="77777777" w:rsidR="0050062E" w:rsidRDefault="0050062E" w:rsidP="0050062E">
      <w:pPr>
        <w:numPr>
          <w:ilvl w:val="0"/>
          <w:numId w:val="4"/>
        </w:numPr>
        <w:rPr>
          <w:rFonts w:eastAsia="Times New Roman"/>
        </w:rPr>
      </w:pPr>
      <w:r>
        <w:rPr>
          <w:rFonts w:eastAsia="Times New Roman"/>
          <w:b/>
          <w:bCs/>
        </w:rPr>
        <w:t>Supply Chain Management:</w:t>
      </w:r>
      <w:r>
        <w:rPr>
          <w:rFonts w:eastAsia="Times New Roman"/>
        </w:rPr>
        <w:t xml:space="preserve"> Efficient supply chain management software can help optimize routes for food delivery, minimize transportation costs, and reduce wastage. Technologies like GPS tracking and route optimization algorithms can ensure timely and cost-effective deliveries.</w:t>
      </w:r>
    </w:p>
    <w:p w14:paraId="7785D7F4" w14:textId="77777777" w:rsidR="0050062E" w:rsidRDefault="0050062E" w:rsidP="0050062E">
      <w:pPr>
        <w:numPr>
          <w:ilvl w:val="0"/>
          <w:numId w:val="4"/>
        </w:numPr>
        <w:rPr>
          <w:rFonts w:eastAsia="Times New Roman"/>
        </w:rPr>
      </w:pPr>
      <w:r>
        <w:rPr>
          <w:rFonts w:eastAsia="Times New Roman"/>
          <w:b/>
          <w:bCs/>
        </w:rPr>
        <w:t>Mobile Applications:</w:t>
      </w:r>
      <w:r>
        <w:rPr>
          <w:rFonts w:eastAsia="Times New Roman"/>
        </w:rPr>
        <w:t xml:space="preserve"> Developing a user-friendly mobile app can allow beneficiaries to access information about available food resources, request assistance, and receive updates on distribution schedules. Apps can also enable volunteers to sign up for shifts, manage routes, and report issues.</w:t>
      </w:r>
    </w:p>
    <w:p w14:paraId="64BAAA58" w14:textId="77777777" w:rsidR="0050062E" w:rsidRDefault="0050062E" w:rsidP="0050062E">
      <w:pPr>
        <w:numPr>
          <w:ilvl w:val="0"/>
          <w:numId w:val="4"/>
        </w:numPr>
        <w:rPr>
          <w:rFonts w:eastAsia="Times New Roman"/>
        </w:rPr>
      </w:pPr>
      <w:r>
        <w:rPr>
          <w:rFonts w:eastAsia="Times New Roman"/>
          <w:b/>
          <w:bCs/>
        </w:rPr>
        <w:t>Data Analytics:</w:t>
      </w:r>
      <w:r>
        <w:rPr>
          <w:rFonts w:eastAsia="Times New Roman"/>
        </w:rPr>
        <w:t xml:space="preserve"> Utilize data analytics tools to analyze distribution patterns, identify trends in demand, and make informed decisions about resource allocation. This data-driven approach can lead to more effective distribution strategies.</w:t>
      </w:r>
    </w:p>
    <w:p w14:paraId="6825D1CD" w14:textId="77777777" w:rsidR="0050062E" w:rsidRDefault="0050062E" w:rsidP="0050062E">
      <w:pPr>
        <w:numPr>
          <w:ilvl w:val="0"/>
          <w:numId w:val="4"/>
        </w:numPr>
        <w:rPr>
          <w:rFonts w:eastAsia="Times New Roman"/>
        </w:rPr>
      </w:pPr>
      <w:r>
        <w:rPr>
          <w:rFonts w:eastAsia="Times New Roman"/>
          <w:b/>
          <w:bCs/>
        </w:rPr>
        <w:t>Online Portals:</w:t>
      </w:r>
      <w:r>
        <w:rPr>
          <w:rFonts w:eastAsia="Times New Roman"/>
        </w:rPr>
        <w:t xml:space="preserve"> Create a web portal where beneficiaries can register, request assistance, and find information about available programs. This can streamline the application process and make it easier for people to access help.</w:t>
      </w:r>
    </w:p>
    <w:p w14:paraId="0DEE8B87" w14:textId="77777777" w:rsidR="0050062E" w:rsidRDefault="0050062E" w:rsidP="0050062E">
      <w:pPr>
        <w:numPr>
          <w:ilvl w:val="0"/>
          <w:numId w:val="4"/>
        </w:numPr>
        <w:rPr>
          <w:rFonts w:eastAsia="Times New Roman"/>
        </w:rPr>
      </w:pPr>
      <w:r>
        <w:rPr>
          <w:rFonts w:eastAsia="Times New Roman"/>
          <w:b/>
          <w:bCs/>
        </w:rPr>
        <w:t>Communication Tools:</w:t>
      </w:r>
      <w:r>
        <w:rPr>
          <w:rFonts w:eastAsia="Times New Roman"/>
        </w:rPr>
        <w:t xml:space="preserve"> Effective communication is crucial for coordinating volunteers, staff, and beneficiaries. Consider using communication tools like messaging apps, email campaigns, and automated notifications to keep everyone informed about distribution schedules, policy updates, and more.</w:t>
      </w:r>
    </w:p>
    <w:p w14:paraId="136B7CA8" w14:textId="77777777" w:rsidR="0050062E" w:rsidRDefault="0050062E" w:rsidP="0050062E">
      <w:pPr>
        <w:numPr>
          <w:ilvl w:val="0"/>
          <w:numId w:val="4"/>
        </w:numPr>
        <w:rPr>
          <w:rFonts w:eastAsia="Times New Roman"/>
        </w:rPr>
      </w:pPr>
      <w:r>
        <w:rPr>
          <w:rFonts w:eastAsia="Times New Roman"/>
          <w:b/>
          <w:bCs/>
        </w:rPr>
        <w:t>Barcode and RFID Technology:</w:t>
      </w:r>
      <w:r>
        <w:rPr>
          <w:rFonts w:eastAsia="Times New Roman"/>
        </w:rPr>
        <w:t xml:space="preserve"> Implementing barcode or RFID technology can help automate the tracking of food items throughout the distribution process. This improves accuracy, reduces manual errors, and enhances transparency.</w:t>
      </w:r>
    </w:p>
    <w:p w14:paraId="1D99FEDE" w14:textId="77777777" w:rsidR="0050062E" w:rsidRDefault="0050062E" w:rsidP="0050062E">
      <w:pPr>
        <w:numPr>
          <w:ilvl w:val="0"/>
          <w:numId w:val="4"/>
        </w:numPr>
        <w:rPr>
          <w:rFonts w:eastAsia="Times New Roman"/>
        </w:rPr>
      </w:pPr>
      <w:r>
        <w:rPr>
          <w:rFonts w:eastAsia="Times New Roman"/>
          <w:b/>
          <w:bCs/>
        </w:rPr>
        <w:t>Cloud Computing:</w:t>
      </w:r>
      <w:r>
        <w:rPr>
          <w:rFonts w:eastAsia="Times New Roman"/>
        </w:rPr>
        <w:t xml:space="preserve"> Cloud-based platforms provide scalability, accessibility, and data storage capabilities. This is particularly useful for agencies that operate across multiple locations or collaborate with various partners.</w:t>
      </w:r>
    </w:p>
    <w:p w14:paraId="37D34937" w14:textId="77777777" w:rsidR="0050062E" w:rsidRDefault="0050062E" w:rsidP="0050062E">
      <w:pPr>
        <w:numPr>
          <w:ilvl w:val="0"/>
          <w:numId w:val="4"/>
        </w:numPr>
        <w:rPr>
          <w:rFonts w:eastAsia="Times New Roman"/>
        </w:rPr>
      </w:pPr>
      <w:r>
        <w:rPr>
          <w:rFonts w:eastAsia="Times New Roman"/>
          <w:b/>
          <w:bCs/>
        </w:rPr>
        <w:t>Donor Management Software:</w:t>
      </w:r>
      <w:r>
        <w:rPr>
          <w:rFonts w:eastAsia="Times New Roman"/>
        </w:rPr>
        <w:t xml:space="preserve"> For agencies reliant on donations, donor management software can help organize and maintain donor relationships, track contributions, and generate reports for transparency and accountability.</w:t>
      </w:r>
    </w:p>
    <w:p w14:paraId="3FAC9028" w14:textId="77777777" w:rsidR="0050062E" w:rsidRDefault="0050062E" w:rsidP="0050062E">
      <w:pPr>
        <w:numPr>
          <w:ilvl w:val="0"/>
          <w:numId w:val="4"/>
        </w:numPr>
        <w:rPr>
          <w:rFonts w:eastAsia="Times New Roman"/>
        </w:rPr>
      </w:pPr>
      <w:r>
        <w:rPr>
          <w:rFonts w:eastAsia="Times New Roman"/>
          <w:b/>
          <w:bCs/>
        </w:rPr>
        <w:lastRenderedPageBreak/>
        <w:t>Security and Privacy:</w:t>
      </w:r>
      <w:r>
        <w:rPr>
          <w:rFonts w:eastAsia="Times New Roman"/>
        </w:rPr>
        <w:t xml:space="preserve"> Since personal and sensitive information might be collected, stored, and shared, </w:t>
      </w:r>
      <w:proofErr w:type="gramStart"/>
      <w:r>
        <w:rPr>
          <w:rFonts w:eastAsia="Times New Roman"/>
        </w:rPr>
        <w:t>it's</w:t>
      </w:r>
      <w:proofErr w:type="gramEnd"/>
      <w:r>
        <w:rPr>
          <w:rFonts w:eastAsia="Times New Roman"/>
        </w:rPr>
        <w:t xml:space="preserve"> crucial to invest in robust cybersecurity measures and adhere to data protection regulations.</w:t>
      </w:r>
    </w:p>
    <w:p w14:paraId="5A232BD1" w14:textId="77777777" w:rsidR="0050062E" w:rsidRDefault="0050062E" w:rsidP="0050062E">
      <w:pPr>
        <w:numPr>
          <w:ilvl w:val="0"/>
          <w:numId w:val="4"/>
        </w:numPr>
        <w:rPr>
          <w:rFonts w:eastAsia="Times New Roman"/>
        </w:rPr>
      </w:pPr>
      <w:r>
        <w:rPr>
          <w:rFonts w:eastAsia="Times New Roman"/>
          <w:b/>
          <w:bCs/>
        </w:rPr>
        <w:t>Payment and Donation Processing:</w:t>
      </w:r>
      <w:r>
        <w:rPr>
          <w:rFonts w:eastAsia="Times New Roman"/>
        </w:rPr>
        <w:t xml:space="preserve"> If the agency accepts online donations or offers payment options for specific services, integrating secure and convenient payment processing systems is important.</w:t>
      </w:r>
    </w:p>
    <w:p w14:paraId="1254D03D" w14:textId="77777777" w:rsidR="0050062E" w:rsidRDefault="0050062E" w:rsidP="0050062E">
      <w:pPr>
        <w:numPr>
          <w:ilvl w:val="0"/>
          <w:numId w:val="4"/>
        </w:numPr>
        <w:rPr>
          <w:rFonts w:eastAsia="Times New Roman"/>
        </w:rPr>
      </w:pPr>
      <w:r>
        <w:rPr>
          <w:rFonts w:eastAsia="Times New Roman"/>
          <w:b/>
          <w:bCs/>
        </w:rPr>
        <w:t>Collaboration and Reporting Tools:</w:t>
      </w:r>
      <w:r>
        <w:rPr>
          <w:rFonts w:eastAsia="Times New Roman"/>
        </w:rPr>
        <w:t xml:space="preserve"> Internal collaboration tools, such as project management software and reporting platforms, can help streamline communication among staff and volunteers, ensuring everyone is on the same page.</w:t>
      </w:r>
    </w:p>
    <w:p w14:paraId="5AC5696F" w14:textId="77777777" w:rsidR="0050062E" w:rsidRDefault="0050062E" w:rsidP="0050062E">
      <w:pPr>
        <w:numPr>
          <w:ilvl w:val="0"/>
          <w:numId w:val="4"/>
        </w:numPr>
        <w:rPr>
          <w:rFonts w:eastAsia="Times New Roman"/>
        </w:rPr>
      </w:pPr>
      <w:r>
        <w:rPr>
          <w:rFonts w:eastAsia="Times New Roman"/>
          <w:b/>
          <w:bCs/>
        </w:rPr>
        <w:t>Remote Assistance Solutions:</w:t>
      </w:r>
      <w:r>
        <w:rPr>
          <w:rFonts w:eastAsia="Times New Roman"/>
        </w:rPr>
        <w:t xml:space="preserve"> In times of emergencies or when in-person interactions are limited, having remote assistance solutions, such as video conferencing, can help agencies continue their operations effectively.</w:t>
      </w:r>
    </w:p>
    <w:p w14:paraId="626AA6C8" w14:textId="77777777" w:rsidR="0050062E" w:rsidRDefault="0050062E" w:rsidP="0050062E">
      <w:pPr>
        <w:numPr>
          <w:ilvl w:val="0"/>
          <w:numId w:val="4"/>
        </w:numPr>
        <w:rPr>
          <w:rFonts w:eastAsia="Times New Roman"/>
        </w:rPr>
      </w:pPr>
      <w:r>
        <w:rPr>
          <w:rFonts w:eastAsia="Times New Roman"/>
          <w:b/>
          <w:bCs/>
        </w:rPr>
        <w:t>Social Media and Online Presence:</w:t>
      </w:r>
      <w:r>
        <w:rPr>
          <w:rFonts w:eastAsia="Times New Roman"/>
        </w:rPr>
        <w:t xml:space="preserve"> Establish a strong online presence through social media to raise awareness, share success stories, and communicate directly with beneficiaries and supporters.</w:t>
      </w:r>
    </w:p>
    <w:p w14:paraId="308D303B" w14:textId="77777777" w:rsidR="0050062E" w:rsidRDefault="0050062E" w:rsidP="0050062E">
      <w:pPr>
        <w:numPr>
          <w:ilvl w:val="0"/>
          <w:numId w:val="4"/>
        </w:numPr>
        <w:rPr>
          <w:rFonts w:eastAsia="Times New Roman"/>
        </w:rPr>
      </w:pPr>
      <w:r>
        <w:rPr>
          <w:rFonts w:eastAsia="Times New Roman"/>
          <w:b/>
          <w:bCs/>
        </w:rPr>
        <w:t>Accessibility and Inclusivity:</w:t>
      </w:r>
      <w:r>
        <w:rPr>
          <w:rFonts w:eastAsia="Times New Roman"/>
        </w:rPr>
        <w:t xml:space="preserve"> Ensure that all digital tools and platforms are designed with accessibility in mind, making it easy for people with disabilities or limited tech skills to access and use the services.</w:t>
      </w:r>
    </w:p>
    <w:p w14:paraId="33801EA7" w14:textId="77777777" w:rsidR="0050062E" w:rsidRDefault="0050062E" w:rsidP="0050062E">
      <w:r>
        <w:t xml:space="preserve">Remember that while technology can greatly enhance food distribution efforts, </w:t>
      </w:r>
      <w:proofErr w:type="gramStart"/>
      <w:r>
        <w:t>it's</w:t>
      </w:r>
      <w:proofErr w:type="gramEnd"/>
      <w:r>
        <w:t xml:space="preserve"> important to strike a balance between automation and human interaction, as the human element plays a critical role in fostering empathy and building trust within the community.</w:t>
      </w:r>
    </w:p>
    <w:p w14:paraId="17FFEFBE" w14:textId="77777777" w:rsidR="004C6930" w:rsidRDefault="004C6930"/>
    <w:sectPr w:rsidR="004C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768"/>
    <w:multiLevelType w:val="hybridMultilevel"/>
    <w:tmpl w:val="C2828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555CD6"/>
    <w:multiLevelType w:val="hybridMultilevel"/>
    <w:tmpl w:val="213C3D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FC41CC9"/>
    <w:multiLevelType w:val="multilevel"/>
    <w:tmpl w:val="1A4E6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234D29"/>
    <w:multiLevelType w:val="multilevel"/>
    <w:tmpl w:val="B5A4F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2E"/>
    <w:rsid w:val="004C6930"/>
    <w:rsid w:val="0050062E"/>
    <w:rsid w:val="00D9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BFD"/>
  <w15:chartTrackingRefBased/>
  <w15:docId w15:val="{28126BD8-F990-4C11-B0FE-290BDA66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8432587A9A488FF8F0CD1FC7CE32" ma:contentTypeVersion="17" ma:contentTypeDescription="Create a new document." ma:contentTypeScope="" ma:versionID="0254f8961d84716fa9ec4e2a1dda687c">
  <xsd:schema xmlns:xsd="http://www.w3.org/2001/XMLSchema" xmlns:xs="http://www.w3.org/2001/XMLSchema" xmlns:p="http://schemas.microsoft.com/office/2006/metadata/properties" xmlns:ns2="4748a9c0-cb3e-430f-9343-29605a7f15e9" xmlns:ns3="eb203599-d835-408d-9dcf-d2ed0fd34514" targetNamespace="http://schemas.microsoft.com/office/2006/metadata/properties" ma:root="true" ma:fieldsID="64d2b2cd26714f6c6145041dd95ff362" ns2:_="" ns3:_="">
    <xsd:import namespace="4748a9c0-cb3e-430f-9343-29605a7f15e9"/>
    <xsd:import namespace="eb203599-d835-408d-9dcf-d2ed0fd34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a9c0-cb3e-430f-9343-29605a7f1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4507c3-b626-42dd-b00f-f3c922dec6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03599-d835-408d-9dcf-d2ed0fd345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a53bdb-b9b2-4823-9a94-de120bb53d21}" ma:internalName="TaxCatchAll" ma:showField="CatchAllData" ma:web="eb203599-d835-408d-9dcf-d2ed0fd345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48a9c0-cb3e-430f-9343-29605a7f15e9">
      <Terms xmlns="http://schemas.microsoft.com/office/infopath/2007/PartnerControls"/>
    </lcf76f155ced4ddcb4097134ff3c332f>
    <TaxCatchAll xmlns="eb203599-d835-408d-9dcf-d2ed0fd34514" xsi:nil="true"/>
  </documentManagement>
</p:properties>
</file>

<file path=customXml/itemProps1.xml><?xml version="1.0" encoding="utf-8"?>
<ds:datastoreItem xmlns:ds="http://schemas.openxmlformats.org/officeDocument/2006/customXml" ds:itemID="{6CF5D55D-64B0-4915-9079-A32D0A8FD76B}"/>
</file>

<file path=customXml/itemProps2.xml><?xml version="1.0" encoding="utf-8"?>
<ds:datastoreItem xmlns:ds="http://schemas.openxmlformats.org/officeDocument/2006/customXml" ds:itemID="{4C5AA174-A597-4D89-AF6B-F862AF8BAD6B}"/>
</file>

<file path=customXml/itemProps3.xml><?xml version="1.0" encoding="utf-8"?>
<ds:datastoreItem xmlns:ds="http://schemas.openxmlformats.org/officeDocument/2006/customXml" ds:itemID="{1BD10255-4BBC-4D73-8F54-A6482570F690}"/>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Kaschimer</dc:creator>
  <cp:keywords/>
  <dc:description/>
  <cp:lastModifiedBy>Kelli Kaschimer</cp:lastModifiedBy>
  <cp:revision>1</cp:revision>
  <dcterms:created xsi:type="dcterms:W3CDTF">2023-08-16T12:47:00Z</dcterms:created>
  <dcterms:modified xsi:type="dcterms:W3CDTF">2023-08-16T12:49:00Z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0x0101001E988432587A9A488FF8F0CD1FC7CE32</vt:lpwstr>
  </property>
</Properties>
</file>